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AA" w:rsidRPr="00044FAA" w:rsidRDefault="00044FAA" w:rsidP="00044FAA">
      <w:pPr>
        <w:rPr>
          <w:rFonts w:ascii="仿宋_GB2312" w:eastAsia="仿宋_GB2312" w:hAnsi="仿宋" w:cs="Times New Roman"/>
          <w:sz w:val="32"/>
          <w:szCs w:val="32"/>
        </w:rPr>
      </w:pPr>
      <w:r w:rsidRPr="00044FAA">
        <w:rPr>
          <w:rFonts w:ascii="仿宋_GB2312" w:eastAsia="仿宋_GB2312" w:hAnsi="仿宋" w:cs="Times New Roman" w:hint="eastAsia"/>
          <w:sz w:val="32"/>
          <w:szCs w:val="32"/>
        </w:rPr>
        <w:t>附件2</w:t>
      </w:r>
    </w:p>
    <w:p w:rsidR="0013222E" w:rsidRDefault="00186391">
      <w:pPr>
        <w:spacing w:line="560" w:lineRule="exact"/>
        <w:ind w:rightChars="40" w:right="84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sz w:val="44"/>
          <w:szCs w:val="44"/>
        </w:rPr>
        <w:t>汕尾职业技术</w:t>
      </w:r>
      <w:r>
        <w:rPr>
          <w:rFonts w:ascii="方正小标宋简体" w:eastAsia="方正小标宋简体" w:hAnsi="仿宋" w:cs="Times New Roman"/>
          <w:sz w:val="44"/>
          <w:szCs w:val="44"/>
        </w:rPr>
        <w:t>学院分级科研管理体制实施</w:t>
      </w:r>
      <w:r>
        <w:rPr>
          <w:rFonts w:ascii="方正小标宋简体" w:eastAsia="方正小标宋简体" w:hAnsi="仿宋" w:cs="Times New Roman" w:hint="eastAsia"/>
          <w:sz w:val="44"/>
          <w:szCs w:val="44"/>
        </w:rPr>
        <w:t>细</w:t>
      </w:r>
      <w:r>
        <w:rPr>
          <w:rFonts w:ascii="方正小标宋简体" w:eastAsia="方正小标宋简体" w:hAnsi="仿宋" w:cs="Times New Roman"/>
          <w:sz w:val="44"/>
          <w:szCs w:val="44"/>
        </w:rPr>
        <w:t>则</w:t>
      </w:r>
    </w:p>
    <w:p w:rsidR="0013222E" w:rsidRDefault="0013222E">
      <w:pPr>
        <w:autoSpaceDE w:val="0"/>
        <w:autoSpaceDN w:val="0"/>
        <w:spacing w:before="13"/>
        <w:jc w:val="left"/>
        <w:rPr>
          <w:rFonts w:ascii="Arial Unicode MS" w:eastAsia="宋体" w:hAnsi="宋体" w:cs="宋体"/>
          <w:kern w:val="0"/>
          <w:sz w:val="31"/>
          <w:szCs w:val="32"/>
          <w:lang w:val="zh-CN" w:bidi="zh-CN"/>
        </w:rPr>
      </w:pPr>
    </w:p>
    <w:p w:rsidR="0013222E" w:rsidRDefault="00186391">
      <w:pPr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第一章  总</w:t>
      </w:r>
      <w:r>
        <w:rPr>
          <w:rFonts w:ascii="黑体" w:eastAsia="黑体" w:hAnsi="黑体" w:cs="Times New Roman" w:hint="eastAsia"/>
          <w:sz w:val="32"/>
          <w:szCs w:val="32"/>
        </w:rPr>
        <w:tab/>
        <w:t>则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第一条  为充分发挥各二级单位在科研管理中的主动性和创造性，进一步发挥科学研究在学校建设中的重要支撑作用，特制定本实施细则。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第二条</w:t>
      </w:r>
      <w:r>
        <w:rPr>
          <w:rFonts w:ascii="仿宋_GB2312" w:eastAsia="仿宋_GB2312" w:hAnsi="仿宋" w:cs="Times New Roman" w:hint="eastAsia"/>
          <w:sz w:val="32"/>
          <w:szCs w:val="32"/>
        </w:rPr>
        <w:tab/>
        <w:t xml:space="preserve">  学校建立“统一领导、分级管理、责任到人”的校、系（院、部等二</w:t>
      </w:r>
      <w:r w:rsidR="0041286C">
        <w:rPr>
          <w:rFonts w:ascii="仿宋_GB2312" w:eastAsia="仿宋_GB2312" w:hAnsi="仿宋" w:cs="Times New Roman" w:hint="eastAsia"/>
          <w:sz w:val="32"/>
          <w:szCs w:val="32"/>
        </w:rPr>
        <w:t>级单位）两级科研工作管理体制。科研处是学校科研工作的日常管理单位</w:t>
      </w:r>
      <w:r>
        <w:rPr>
          <w:rFonts w:ascii="仿宋_GB2312" w:eastAsia="仿宋_GB2312" w:hAnsi="仿宋" w:cs="Times New Roman" w:hint="eastAsia"/>
          <w:sz w:val="32"/>
          <w:szCs w:val="32"/>
        </w:rPr>
        <w:t>，各二级单位是科研工作的基层组织和管理单位。</w:t>
      </w:r>
    </w:p>
    <w:p w:rsidR="0013222E" w:rsidRDefault="00186391">
      <w:pPr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 xml:space="preserve">第二章 </w:t>
      </w:r>
      <w:r>
        <w:rPr>
          <w:rFonts w:ascii="黑体" w:eastAsia="黑体" w:hAnsi="黑体" w:cs="Times New Roman" w:hint="eastAsia"/>
          <w:sz w:val="32"/>
          <w:szCs w:val="32"/>
        </w:rPr>
        <w:tab/>
        <w:t>学校职责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第三条 负责组织编制学校中长期科研发展规划，制定并组织实施学校年度科研项目和科研经费计划，负责制定、修订学校科研政策及科研管理文件。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第四条 负责各级各类科研项目申报工作的宏观组织、协调和全过程管理，负责校级科研项目的组织实施。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第五条 负责科研成果和知识产权管理，负责科研信息搜集整理以及科研档案的管理工作、科研统计工作，负责科研成果奖励的组织申报工作，推进科研成果转化。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第六条 负责科技开发、咨询服务工作及科研合同管理</w:t>
      </w: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工作，负责与校外政府、企业、科研院所及其他事业单位建立科研联系，负责校内外学术交流活动的组织管理及学术团体的宏观管理工作，协调各二级单位学术活动。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第七条 协助二级单位申报重点实验室、研究基地、工程技术（开发）中心、协同创新（发展）中心等。负责开展各级重点实验室、研究基地、工程技术（开发）中心、协同创新（发展）中心等的评估考核工作。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第八条 负责建立和完善学校科研评价体系，并对各二级单位科研工作进行考核，按学校相关规定给予奖励和处罚。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第九条 </w:t>
      </w:r>
      <w:r w:rsidR="0041286C">
        <w:rPr>
          <w:rFonts w:ascii="仿宋_GB2312" w:eastAsia="仿宋_GB2312" w:hAnsi="仿宋" w:cs="Times New Roman" w:hint="eastAsia"/>
          <w:sz w:val="32"/>
          <w:szCs w:val="32"/>
        </w:rPr>
        <w:t>科研处、财务处、审计处等职能单位</w:t>
      </w:r>
      <w:bookmarkStart w:id="0" w:name="_GoBack"/>
      <w:bookmarkEnd w:id="0"/>
      <w:r>
        <w:rPr>
          <w:rFonts w:ascii="仿宋_GB2312" w:eastAsia="仿宋_GB2312" w:hAnsi="仿宋" w:cs="Times New Roman" w:hint="eastAsia"/>
          <w:sz w:val="32"/>
          <w:szCs w:val="32"/>
        </w:rPr>
        <w:t>负责科研经费的管理、检查和审计等方面的工作。</w:t>
      </w:r>
    </w:p>
    <w:p w:rsidR="0013222E" w:rsidRDefault="00186391">
      <w:pPr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第三章   二级单位职责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第十条 根据学校科研工作规划和本单位实际，制定和组织实施本单位科研工作规划，完成学校下达的科研任务，并对本单位科研人员的科研业绩进行考核。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第十一条 负责本单位科研项目申报工作的组织、动员，并召集专家对申报项目进行学术审核、评议与推荐，指导、监督各类在研科研项目。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第十二条 </w:t>
      </w:r>
      <w:r w:rsidR="0041286C">
        <w:rPr>
          <w:rFonts w:ascii="仿宋_GB2312" w:eastAsia="仿宋_GB2312" w:hAnsi="仿宋" w:cs="Times New Roman" w:hint="eastAsia"/>
          <w:sz w:val="32"/>
          <w:szCs w:val="32"/>
        </w:rPr>
        <w:t>在学校科研经费管理单位</w:t>
      </w:r>
      <w:r>
        <w:rPr>
          <w:rFonts w:ascii="仿宋_GB2312" w:eastAsia="仿宋_GB2312" w:hAnsi="仿宋" w:cs="Times New Roman" w:hint="eastAsia"/>
          <w:sz w:val="32"/>
          <w:szCs w:val="32"/>
        </w:rPr>
        <w:t>的指导下，负责监督和管理本单位的科研经费，对项目经费的使用进行审核，配合学校科研经费审计的相关工作。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第十三条 负责建立本单位的科研项目档案。项目负责</w:t>
      </w: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人负责建立个人科研项目档案，完整保存立项项目全部资料，有责任为项目参与人提供相关项目档案资料。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第十四条 负责本单位的科研成果统计，建立本单位科研成果的申报、认定机制和相应的奖励办法，促进科研成果质量的提升。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第十五条 负责管理挂靠在本单位的各级研究基地、技术工程（开发）中心、协同创新中心、重点实验室和学术社</w:t>
      </w:r>
      <w:r>
        <w:rPr>
          <w:rFonts w:ascii="仿宋_GB2312" w:eastAsia="仿宋_GB2312" w:hAnsi="仿宋" w:cs="Times New Roman"/>
          <w:sz w:val="32"/>
          <w:szCs w:val="32"/>
        </w:rPr>
        <w:t>团等，组织协调申报、管理本单位所属的科研机构，组织协调本单位的各类学术活动。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/>
          <w:sz w:val="32"/>
          <w:szCs w:val="32"/>
        </w:rPr>
        <w:t>第十六条 依据学科</w:t>
      </w:r>
      <w:r>
        <w:rPr>
          <w:rFonts w:ascii="仿宋_GB2312" w:eastAsia="仿宋_GB2312" w:hAnsi="仿宋" w:cs="Times New Roman" w:hint="eastAsia"/>
          <w:sz w:val="32"/>
          <w:szCs w:val="32"/>
        </w:rPr>
        <w:t>特色</w:t>
      </w:r>
      <w:r>
        <w:rPr>
          <w:rFonts w:ascii="仿宋_GB2312" w:eastAsia="仿宋_GB2312" w:hAnsi="仿宋" w:cs="Times New Roman"/>
          <w:sz w:val="32"/>
          <w:szCs w:val="32"/>
        </w:rPr>
        <w:t>和科研发展规划，制定本单位科研人员的</w:t>
      </w:r>
      <w:r>
        <w:rPr>
          <w:rFonts w:ascii="仿宋_GB2312" w:eastAsia="仿宋_GB2312" w:hAnsi="仿宋" w:cs="Times New Roman" w:hint="eastAsia"/>
          <w:sz w:val="32"/>
          <w:szCs w:val="32"/>
        </w:rPr>
        <w:t>培养</w:t>
      </w:r>
      <w:r>
        <w:rPr>
          <w:rFonts w:ascii="仿宋_GB2312" w:eastAsia="仿宋_GB2312" w:hAnsi="仿宋" w:cs="Times New Roman"/>
          <w:sz w:val="32"/>
          <w:szCs w:val="32"/>
        </w:rPr>
        <w:t>方案，进行科研</w:t>
      </w:r>
      <w:r>
        <w:rPr>
          <w:rFonts w:ascii="仿宋_GB2312" w:eastAsia="仿宋_GB2312" w:hAnsi="仿宋" w:cs="Times New Roman" w:hint="eastAsia"/>
          <w:sz w:val="32"/>
          <w:szCs w:val="32"/>
        </w:rPr>
        <w:t>指导</w:t>
      </w:r>
      <w:r>
        <w:rPr>
          <w:rFonts w:ascii="仿宋_GB2312" w:eastAsia="仿宋_GB2312" w:hAnsi="仿宋" w:cs="Times New Roman"/>
          <w:sz w:val="32"/>
          <w:szCs w:val="32"/>
        </w:rPr>
        <w:t>，积极推荐中青年科研骨干参与学校组织的各种培训工作，有效提高科研</w:t>
      </w:r>
      <w:r>
        <w:rPr>
          <w:rFonts w:ascii="仿宋_GB2312" w:eastAsia="仿宋_GB2312" w:hAnsi="仿宋" w:cs="Times New Roman" w:hint="eastAsia"/>
          <w:sz w:val="32"/>
          <w:szCs w:val="32"/>
        </w:rPr>
        <w:t>队伍</w:t>
      </w:r>
      <w:r>
        <w:rPr>
          <w:rFonts w:ascii="仿宋_GB2312" w:eastAsia="仿宋_GB2312" w:hAnsi="仿宋" w:cs="Times New Roman"/>
          <w:sz w:val="32"/>
          <w:szCs w:val="32"/>
        </w:rPr>
        <w:t>的可持续发展。</w:t>
      </w:r>
    </w:p>
    <w:p w:rsidR="0013222E" w:rsidRDefault="00186391">
      <w:pPr>
        <w:ind w:firstLineChars="200" w:firstLine="64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第四章 附 则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/>
          <w:sz w:val="32"/>
          <w:szCs w:val="32"/>
        </w:rPr>
        <w:t>第十七条</w:t>
      </w:r>
      <w:r>
        <w:rPr>
          <w:rFonts w:ascii="仿宋_GB2312" w:eastAsia="仿宋_GB2312" w:hAnsi="仿宋" w:cs="Times New Roman"/>
          <w:sz w:val="32"/>
          <w:szCs w:val="32"/>
        </w:rPr>
        <w:tab/>
        <w:t>本细则自颁布之日起施行。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/>
          <w:sz w:val="32"/>
          <w:szCs w:val="32"/>
        </w:rPr>
        <w:t>第十八条</w:t>
      </w:r>
      <w:r>
        <w:rPr>
          <w:rFonts w:ascii="仿宋_GB2312" w:eastAsia="仿宋_GB2312" w:hAnsi="仿宋" w:cs="Times New Roman"/>
          <w:sz w:val="32"/>
          <w:szCs w:val="32"/>
        </w:rPr>
        <w:tab/>
        <w:t>本细则是学校科研管理工作的</w:t>
      </w:r>
      <w:r>
        <w:rPr>
          <w:rFonts w:ascii="仿宋_GB2312" w:eastAsia="仿宋_GB2312" w:hAnsi="仿宋" w:cs="Times New Roman" w:hint="eastAsia"/>
          <w:sz w:val="32"/>
          <w:szCs w:val="32"/>
        </w:rPr>
        <w:t>基本</w:t>
      </w:r>
      <w:r>
        <w:rPr>
          <w:rFonts w:ascii="仿宋_GB2312" w:eastAsia="仿宋_GB2312" w:hAnsi="仿宋" w:cs="Times New Roman"/>
          <w:sz w:val="32"/>
          <w:szCs w:val="32"/>
        </w:rPr>
        <w:t>依据，学校原有相关规定与本细则不一致的，以本细则</w:t>
      </w:r>
      <w:r>
        <w:rPr>
          <w:rFonts w:ascii="仿宋_GB2312" w:eastAsia="仿宋_GB2312" w:hAnsi="仿宋" w:cs="Times New Roman" w:hint="eastAsia"/>
          <w:sz w:val="32"/>
          <w:szCs w:val="32"/>
        </w:rPr>
        <w:t>为准</w:t>
      </w:r>
      <w:r>
        <w:rPr>
          <w:rFonts w:ascii="仿宋_GB2312" w:eastAsia="仿宋_GB2312" w:hAnsi="仿宋" w:cs="Times New Roman"/>
          <w:sz w:val="32"/>
          <w:szCs w:val="32"/>
        </w:rPr>
        <w:t>。</w:t>
      </w:r>
    </w:p>
    <w:p w:rsidR="0013222E" w:rsidRDefault="00186391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/>
          <w:sz w:val="32"/>
          <w:szCs w:val="32"/>
        </w:rPr>
        <w:t>第十九条</w:t>
      </w:r>
      <w:r>
        <w:rPr>
          <w:rFonts w:ascii="仿宋_GB2312" w:eastAsia="仿宋_GB2312" w:hAnsi="仿宋" w:cs="Times New Roman"/>
          <w:sz w:val="32"/>
          <w:szCs w:val="32"/>
        </w:rPr>
        <w:tab/>
        <w:t>本细则由</w:t>
      </w:r>
      <w:r>
        <w:rPr>
          <w:rFonts w:ascii="仿宋_GB2312" w:eastAsia="仿宋_GB2312" w:hAnsi="仿宋" w:cs="Times New Roman" w:hint="eastAsia"/>
          <w:sz w:val="32"/>
          <w:szCs w:val="32"/>
        </w:rPr>
        <w:t>科研处</w:t>
      </w:r>
      <w:r>
        <w:rPr>
          <w:rFonts w:ascii="仿宋_GB2312" w:eastAsia="仿宋_GB2312" w:hAnsi="仿宋" w:cs="Times New Roman"/>
          <w:sz w:val="32"/>
          <w:szCs w:val="32"/>
        </w:rPr>
        <w:t>负责解释。</w:t>
      </w:r>
    </w:p>
    <w:sectPr w:rsidR="0013222E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24" w:rsidRDefault="00D86E24">
      <w:r>
        <w:separator/>
      </w:r>
    </w:p>
  </w:endnote>
  <w:endnote w:type="continuationSeparator" w:id="0">
    <w:p w:rsidR="00D86E24" w:rsidRDefault="00D8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2E" w:rsidRDefault="0018639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222E" w:rsidRDefault="00186391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1286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3222E" w:rsidRDefault="00186391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1286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2E" w:rsidRDefault="0018639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222E" w:rsidRDefault="00186391">
                          <w:pPr>
                            <w:pStyle w:val="a5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1286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13222E" w:rsidRDefault="00186391">
                    <w:pPr>
                      <w:pStyle w:val="a5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41286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24" w:rsidRDefault="00D86E24">
      <w:r>
        <w:separator/>
      </w:r>
    </w:p>
  </w:footnote>
  <w:footnote w:type="continuationSeparator" w:id="0">
    <w:p w:rsidR="00D86E24" w:rsidRDefault="00D86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E3"/>
    <w:rsid w:val="0000062E"/>
    <w:rsid w:val="00044FAA"/>
    <w:rsid w:val="000520B9"/>
    <w:rsid w:val="0013222E"/>
    <w:rsid w:val="00186391"/>
    <w:rsid w:val="001872F9"/>
    <w:rsid w:val="002239CD"/>
    <w:rsid w:val="0041286C"/>
    <w:rsid w:val="004240C7"/>
    <w:rsid w:val="005B3465"/>
    <w:rsid w:val="00607D65"/>
    <w:rsid w:val="00636EB6"/>
    <w:rsid w:val="006A72FD"/>
    <w:rsid w:val="00730710"/>
    <w:rsid w:val="007847B2"/>
    <w:rsid w:val="007D6EE3"/>
    <w:rsid w:val="008A7AF0"/>
    <w:rsid w:val="008D7743"/>
    <w:rsid w:val="009424B3"/>
    <w:rsid w:val="00964AF5"/>
    <w:rsid w:val="00BE7B5D"/>
    <w:rsid w:val="00C264CE"/>
    <w:rsid w:val="00C83219"/>
    <w:rsid w:val="00D5313C"/>
    <w:rsid w:val="00D61C7C"/>
    <w:rsid w:val="00D86E24"/>
    <w:rsid w:val="00FB6800"/>
    <w:rsid w:val="4322384A"/>
    <w:rsid w:val="57191A9B"/>
    <w:rsid w:val="61D22CE4"/>
    <w:rsid w:val="678A222B"/>
    <w:rsid w:val="6B6465E0"/>
    <w:rsid w:val="7A0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2A5BD-A97D-46D5-91E3-95BBFDA0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pPr>
      <w:spacing w:after="12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00727E-9093-4BA8-8D88-12F51617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190</Words>
  <Characters>1089</Characters>
  <Application>Microsoft Office Word</Application>
  <DocSecurity>0</DocSecurity>
  <Lines>9</Lines>
  <Paragraphs>2</Paragraphs>
  <ScaleCrop>false</ScaleCrop>
  <Company>china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陈振圻</cp:lastModifiedBy>
  <cp:revision>14</cp:revision>
  <cp:lastPrinted>2020-05-26T07:04:00Z</cp:lastPrinted>
  <dcterms:created xsi:type="dcterms:W3CDTF">2020-04-07T00:10:00Z</dcterms:created>
  <dcterms:modified xsi:type="dcterms:W3CDTF">2020-06-09T07:54:00Z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